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sz w:val="32"/>
          <w:szCs w:val="32"/>
          <w:lang w:val="en-US" w:eastAsia="zh-CN"/>
        </w:rPr>
      </w:pPr>
      <w:bookmarkStart w:id="0" w:name="_GoBack"/>
      <w:bookmarkEnd w:id="0"/>
      <w:r>
        <w:rPr>
          <w:rFonts w:hint="eastAsia" w:ascii="楷体_GB2312" w:hAnsi="楷体_GB2312" w:eastAsia="楷体_GB2312" w:cs="楷体_GB2312"/>
          <w:sz w:val="32"/>
          <w:szCs w:val="32"/>
          <w:lang w:val="en-US" w:eastAsia="zh-CN"/>
        </w:rPr>
        <w:t>县文化广电和旅游局党组书记、局长  张玲玲</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县委、县政府</w:t>
      </w:r>
      <w:r>
        <w:rPr>
          <w:rFonts w:hint="eastAsia" w:ascii="仿宋_GB2312" w:hAnsi="仿宋_GB2312" w:eastAsia="仿宋_GB2312" w:cs="仿宋_GB2312"/>
          <w:sz w:val="32"/>
          <w:szCs w:val="32"/>
        </w:rPr>
        <w:t>的坚强领导下，我</w:t>
      </w:r>
      <w:r>
        <w:rPr>
          <w:rFonts w:hint="eastAsia" w:ascii="仿宋_GB2312" w:hAnsi="仿宋_GB2312" w:eastAsia="仿宋_GB2312" w:cs="仿宋_GB2312"/>
          <w:sz w:val="32"/>
          <w:szCs w:val="32"/>
          <w:lang w:eastAsia="zh-CN"/>
        </w:rPr>
        <w:t>团结带领全局党员干部</w:t>
      </w:r>
      <w:r>
        <w:rPr>
          <w:rFonts w:hint="eastAsia" w:ascii="仿宋_GB2312" w:hAnsi="仿宋_GB2312" w:eastAsia="仿宋_GB2312" w:cs="仿宋_GB2312"/>
          <w:sz w:val="32"/>
          <w:szCs w:val="32"/>
        </w:rPr>
        <w:t>坚持以习近平新时代中国特色社会主义思想为指导，</w:t>
      </w:r>
      <w:r>
        <w:rPr>
          <w:rFonts w:hint="eastAsia" w:ascii="仿宋_GB2312" w:hAnsi="仿宋_GB2312" w:eastAsia="仿宋_GB2312" w:cs="仿宋_GB2312"/>
          <w:sz w:val="32"/>
          <w:szCs w:val="32"/>
          <w:lang w:eastAsia="zh-CN"/>
        </w:rPr>
        <w:t>深入</w:t>
      </w:r>
      <w:r>
        <w:rPr>
          <w:rFonts w:hint="eastAsia" w:ascii="仿宋_GB2312" w:hAnsi="仿宋_GB2312" w:eastAsia="仿宋_GB2312" w:cs="仿宋_GB2312"/>
          <w:sz w:val="32"/>
          <w:szCs w:val="32"/>
          <w:lang w:val="en-US" w:eastAsia="zh-CN"/>
        </w:rPr>
        <w:t>学习宣传贯彻</w:t>
      </w:r>
      <w:r>
        <w:rPr>
          <w:rFonts w:hint="eastAsia" w:ascii="仿宋_GB2312" w:hAnsi="仿宋_GB2312" w:eastAsia="仿宋_GB2312" w:cs="仿宋_GB2312"/>
          <w:sz w:val="32"/>
          <w:szCs w:val="32"/>
        </w:rPr>
        <w:t>习近平法治思想，多维度推进依法行政，认真落实法治建设各项工作措施，不断创新工作思路，改进工作方法，</w:t>
      </w:r>
      <w:r>
        <w:rPr>
          <w:rFonts w:hint="eastAsia" w:ascii="仿宋_GB2312" w:hAnsi="仿宋_GB2312" w:eastAsia="仿宋_GB2312" w:cs="仿宋_GB2312"/>
          <w:sz w:val="32"/>
          <w:szCs w:val="32"/>
          <w:lang w:eastAsia="zh-CN"/>
        </w:rPr>
        <w:t>取得较好工作成效，</w:t>
      </w:r>
      <w:r>
        <w:rPr>
          <w:rFonts w:hint="eastAsia" w:ascii="仿宋_GB2312" w:hAnsi="仿宋_GB2312" w:eastAsia="仿宋_GB2312" w:cs="仿宋_GB2312"/>
          <w:sz w:val="32"/>
          <w:szCs w:val="32"/>
        </w:rPr>
        <w:t>现将一年来履行推进法治建设第一责任人职责情况报告如下: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一、履职</w:t>
      </w:r>
      <w:r>
        <w:rPr>
          <w:rFonts w:hint="eastAsia" w:ascii="黑体" w:hAnsi="黑体" w:eastAsia="黑体" w:cs="黑体"/>
          <w:sz w:val="32"/>
          <w:szCs w:val="32"/>
        </w:rPr>
        <w:t>情况</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（一）加强组织领导，建强法治阵地。</w:t>
      </w:r>
      <w:r>
        <w:rPr>
          <w:rFonts w:hint="eastAsia" w:ascii="仿宋_GB2312" w:hAnsi="仿宋_GB2312" w:eastAsia="仿宋_GB2312" w:cs="仿宋_GB2312"/>
          <w:sz w:val="32"/>
          <w:szCs w:val="32"/>
          <w:lang w:eastAsia="zh-CN"/>
        </w:rPr>
        <w:t>我高度重视法治工作，坚持</w:t>
      </w:r>
      <w:r>
        <w:rPr>
          <w:rFonts w:hint="eastAsia" w:ascii="仿宋_GB2312" w:hAnsi="仿宋_GB2312" w:eastAsia="仿宋_GB2312" w:cs="仿宋_GB2312"/>
          <w:sz w:val="32"/>
          <w:szCs w:val="32"/>
        </w:rPr>
        <w:t>将法治政府建设摆在重要位置，</w:t>
      </w:r>
      <w:r>
        <w:rPr>
          <w:rFonts w:hint="eastAsia" w:ascii="仿宋_GB2312" w:hAnsi="仿宋_GB2312" w:eastAsia="仿宋_GB2312" w:cs="仿宋_GB2312"/>
          <w:sz w:val="32"/>
          <w:szCs w:val="32"/>
          <w:lang w:eastAsia="zh-CN"/>
        </w:rPr>
        <w:t>为保证法治政府建设工作有序推进，我局调整充实了以局长为组长，分管副职为副组长，局属各单位负责人为成员的法治政府建设工作领导小组，按照“谁主管谁负责”的原则，进一步明确领导小组及其成员的工作职责。分解年度法治任务，对照任务清单，严格落实工作责任制，把法治政府建设工作纳入局党组定期会议议事日程，做到有部署、有检查、有落实。</w:t>
      </w:r>
      <w:r>
        <w:rPr>
          <w:rFonts w:hint="eastAsia" w:ascii="仿宋_GB2312" w:hAnsi="仿宋_GB2312" w:eastAsia="仿宋_GB2312" w:cs="仿宋_GB2312"/>
          <w:sz w:val="32"/>
          <w:szCs w:val="32"/>
          <w:lang w:val="en-US" w:eastAsia="zh-CN"/>
        </w:rPr>
        <w:t>一年来，我主持召开专题推进会议四次，听取班子成员法治政府建设工作进展情况，推动各项安排部署落地落实。同时，</w:t>
      </w:r>
      <w:r>
        <w:rPr>
          <w:rFonts w:hint="eastAsia" w:ascii="仿宋_GB2312" w:hAnsi="仿宋_GB2312" w:eastAsia="仿宋_GB2312" w:cs="仿宋_GB2312"/>
          <w:sz w:val="32"/>
          <w:szCs w:val="32"/>
          <w:lang w:eastAsia="zh-CN"/>
        </w:rPr>
        <w:t xml:space="preserve">充分发挥法律顾问在文广旅执法、普法、信访、重要合同文本和规范性文件合法性审核等法治建设工作中的参谋助手作用，确保工作在法治轨道下运行，有效推进了我局的法治政府建设工作。 </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（二）规范执法行为，增强执法能力。</w:t>
      </w:r>
      <w:r>
        <w:rPr>
          <w:rFonts w:hint="eastAsia" w:ascii="仿宋_GB2312" w:hAnsi="仿宋_GB2312" w:eastAsia="仿宋_GB2312" w:cs="仿宋_GB2312"/>
          <w:sz w:val="32"/>
          <w:szCs w:val="32"/>
          <w:lang w:val="en-US" w:eastAsia="zh-CN"/>
        </w:rPr>
        <w:t>我积极推进文化市场执法改革，指导制定了《宝丰县深化文化市场综合行政执法改革工作实施方案》，整合文化市场执法职能和执法队伍，全面梳理、规范和精简执法事项。进一步加强执法队伍建设，持续推进执法能力提升常态化，创新开展“周三学习日”，通过“以考代学”“逐个点评”等方式开展执法人员法制能力测试，确保执法人员熟练掌握业务，提升综合执法效能,努力打造业务精、纪律严、作风硬、战斗力强的文旅综合执法队伍。2023年度，指导</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文旅</w:t>
      </w:r>
      <w:r>
        <w:rPr>
          <w:rFonts w:hint="eastAsia" w:ascii="仿宋_GB2312" w:hAnsi="仿宋_GB2312" w:eastAsia="仿宋_GB2312" w:cs="仿宋_GB2312"/>
          <w:sz w:val="32"/>
          <w:szCs w:val="32"/>
        </w:rPr>
        <w:t>市场专项整治行动</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次，检查文旅场所</w:t>
      </w:r>
      <w:r>
        <w:rPr>
          <w:rFonts w:hint="eastAsia" w:ascii="仿宋_GB2312" w:hAnsi="仿宋_GB2312" w:eastAsia="仿宋_GB2312" w:cs="仿宋_GB2312"/>
          <w:color w:val="auto"/>
          <w:spacing w:val="-6"/>
          <w:sz w:val="32"/>
          <w:szCs w:val="32"/>
          <w:lang w:val="en-US" w:eastAsia="zh-CN"/>
        </w:rPr>
        <w:t>1824</w:t>
      </w:r>
      <w:r>
        <w:rPr>
          <w:rFonts w:hint="eastAsia" w:ascii="仿宋_GB2312" w:hAnsi="仿宋_GB2312" w:eastAsia="仿宋_GB2312" w:cs="仿宋_GB2312"/>
          <w:sz w:val="32"/>
          <w:szCs w:val="32"/>
        </w:rPr>
        <w:t>家次，出动执法人员</w:t>
      </w:r>
      <w:r>
        <w:rPr>
          <w:rFonts w:hint="eastAsia" w:ascii="仿宋_GB2312" w:hAnsi="仿宋_GB2312" w:eastAsia="仿宋_GB2312" w:cs="仿宋_GB2312"/>
          <w:color w:val="auto"/>
          <w:sz w:val="32"/>
          <w:szCs w:val="32"/>
          <w:lang w:val="en-US" w:eastAsia="zh-CN"/>
        </w:rPr>
        <w:t>4105</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，均按照</w:t>
      </w:r>
      <w:r>
        <w:rPr>
          <w:rFonts w:hint="eastAsia" w:ascii="仿宋_GB2312" w:hAnsi="仿宋_GB2312" w:eastAsia="仿宋_GB2312" w:cs="仿宋_GB2312"/>
          <w:sz w:val="32"/>
          <w:szCs w:val="32"/>
        </w:rPr>
        <w:t>行政执法</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规定，亮证执法，文明执法，严格执法。</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rPr>
      </w:pPr>
      <w:r>
        <w:rPr>
          <w:rFonts w:hint="eastAsia" w:ascii="楷体_GB2312" w:hAnsi="楷体_GB2312" w:eastAsia="楷体_GB2312" w:cs="楷体_GB2312"/>
          <w:sz w:val="32"/>
          <w:szCs w:val="32"/>
          <w:lang w:val="en-US" w:eastAsia="zh-CN"/>
        </w:rPr>
        <w:t>（三）加强执法监督，规范执法行为。</w:t>
      </w:r>
      <w:r>
        <w:rPr>
          <w:rFonts w:hint="eastAsia" w:ascii="仿宋_GB2312" w:hAnsi="仿宋_GB2312" w:eastAsia="仿宋_GB2312" w:cs="仿宋_GB2312"/>
          <w:sz w:val="32"/>
          <w:szCs w:val="32"/>
          <w:lang w:val="en-US" w:eastAsia="zh-CN"/>
        </w:rPr>
        <w:t>指导完善执法监管制度，制定规范执法制度，明确行政执法责任，印发《文化市场综合行政执法人员行为规范（试行）》，规范文化行政综合执法行为，建立执法全过程记录制度，制定《行政执法案卷评查制度》、《行政执法责任追究制度》，规范执法程序，要求执法人员认真贯彻执行《行政处罚法》规定，严格按照法定程序办案，积极推进行政执法全过程记录和行政执法案卷评查工作,行政处罚、行政检查结果按相关规定在全国文化市场技术监管服务平台、国家信用公示平台上进行公示。</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（四）开展法治宣传，增强法治意识。</w:t>
      </w:r>
      <w:r>
        <w:rPr>
          <w:rFonts w:hint="eastAsia" w:ascii="仿宋_GB2312" w:hAnsi="仿宋_GB2312" w:eastAsia="仿宋_GB2312" w:cs="仿宋_GB2312"/>
          <w:sz w:val="32"/>
          <w:szCs w:val="32"/>
          <w:lang w:val="en-US" w:eastAsia="zh-CN"/>
        </w:rPr>
        <w:t>坚持把普法宣传，作为全面推进法治政府建设的重要措施，认真组织局执法人员开展“3.15消费者权益日”“4.26世界知识产权日”“民法典”“12.4宪法宣传日”等系列宣传活动，</w:t>
      </w:r>
      <w:r>
        <w:rPr>
          <w:rFonts w:hint="eastAsia"/>
        </w:rPr>
        <w:t xml:space="preserve"> </w:t>
      </w:r>
      <w:r>
        <w:rPr>
          <w:rFonts w:hint="eastAsia" w:ascii="仿宋_GB2312" w:hAnsi="仿宋_GB2312" w:eastAsia="仿宋_GB2312" w:cs="仿宋_GB2312"/>
          <w:sz w:val="32"/>
          <w:szCs w:val="32"/>
          <w:lang w:val="en-US" w:eastAsia="zh-CN"/>
        </w:rPr>
        <w:t>通过制作展板、组织培训、以案说法等宣传方式，促进广大群众对文化市场管理法律法规的熟知率，通过正反两方面典型案例讲解，增强群众对法律法规的敬畏感，提高广大群众依法办事的意识，同步利用微信公众号、电子显示屏、横幅标语等形式来进行宣传法律知识，营造浓厚的宣传氛围。在潜移默化的宣传引导下，广大群众知法、学法、懂法、守法的积极性进一步激发，文化市场的经营环境得到进一步净化，为促进我县文化综合市场繁荣发展打牢了坚实法治基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、存在的问题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一是文化市场执法力量不足，执法监管</w:t>
      </w:r>
      <w:r>
        <w:rPr>
          <w:rFonts w:hint="eastAsia" w:ascii="仿宋_GB2312" w:hAnsi="仿宋_GB2312" w:eastAsia="仿宋_GB2312" w:cs="仿宋_GB2312"/>
          <w:sz w:val="32"/>
          <w:szCs w:val="32"/>
          <w:lang w:eastAsia="zh-CN"/>
        </w:rPr>
        <w:t>覆盖面不够广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二是执法人员依法行政水平有待进一步提高。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三是法律专业的执法人员</w:t>
      </w:r>
      <w:r>
        <w:rPr>
          <w:rFonts w:hint="eastAsia" w:ascii="仿宋_GB2312" w:hAnsi="仿宋_GB2312" w:eastAsia="仿宋_GB2312" w:cs="仿宋_GB2312"/>
          <w:sz w:val="32"/>
          <w:szCs w:val="32"/>
          <w:lang w:eastAsia="zh-CN"/>
        </w:rPr>
        <w:t>不充足</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w:t>
      </w:r>
      <w:r>
        <w:rPr>
          <w:rFonts w:hint="eastAsia" w:ascii="黑体" w:hAnsi="黑体" w:eastAsia="黑体" w:cs="黑体"/>
          <w:sz w:val="32"/>
          <w:szCs w:val="32"/>
          <w:lang w:val="en-US" w:eastAsia="zh-CN"/>
        </w:rPr>
        <w:t>下一步</w:t>
      </w:r>
      <w:r>
        <w:rPr>
          <w:rFonts w:hint="eastAsia" w:ascii="黑体" w:hAnsi="黑体" w:eastAsia="黑体" w:cs="黑体"/>
          <w:sz w:val="32"/>
          <w:szCs w:val="32"/>
        </w:rPr>
        <w:t>工作打算</w:t>
      </w:r>
    </w:p>
    <w:p>
      <w:pPr>
        <w:keepNext w:val="0"/>
        <w:keepLines w:val="0"/>
        <w:pageBreakBefore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i w:val="0"/>
          <w:iCs w:val="0"/>
          <w:caps w:val="0"/>
          <w:color w:val="auto"/>
          <w:spacing w:val="0"/>
          <w:sz w:val="32"/>
          <w:szCs w:val="32"/>
          <w:u w:val="none"/>
          <w:lang w:eastAsia="zh-CN"/>
        </w:rPr>
        <w:t>（</w:t>
      </w:r>
      <w:r>
        <w:rPr>
          <w:rFonts w:hint="eastAsia" w:ascii="楷体" w:hAnsi="楷体" w:eastAsia="楷体" w:cs="楷体"/>
          <w:i w:val="0"/>
          <w:iCs w:val="0"/>
          <w:caps w:val="0"/>
          <w:color w:val="auto"/>
          <w:spacing w:val="0"/>
          <w:sz w:val="32"/>
          <w:szCs w:val="32"/>
          <w:u w:val="none"/>
          <w:lang w:val="en-US" w:eastAsia="zh-CN"/>
        </w:rPr>
        <w:t>一</w:t>
      </w:r>
      <w:r>
        <w:rPr>
          <w:rFonts w:hint="eastAsia" w:ascii="楷体" w:hAnsi="楷体" w:eastAsia="楷体" w:cs="楷体"/>
          <w:i w:val="0"/>
          <w:iCs w:val="0"/>
          <w:caps w:val="0"/>
          <w:color w:val="auto"/>
          <w:spacing w:val="0"/>
          <w:sz w:val="32"/>
          <w:szCs w:val="32"/>
          <w:u w:val="none"/>
          <w:lang w:eastAsia="zh-CN"/>
        </w:rPr>
        <w:t>）</w:t>
      </w:r>
      <w:r>
        <w:rPr>
          <w:rFonts w:ascii="楷体" w:hAnsi="楷体" w:eastAsia="楷体" w:cs="楷体"/>
          <w:i w:val="0"/>
          <w:iCs w:val="0"/>
          <w:caps w:val="0"/>
          <w:color w:val="auto"/>
          <w:spacing w:val="0"/>
          <w:sz w:val="31"/>
          <w:szCs w:val="31"/>
          <w:u w:val="none"/>
        </w:rPr>
        <w:t>加强理论</w:t>
      </w:r>
      <w:r>
        <w:rPr>
          <w:rFonts w:hint="eastAsia" w:ascii="楷体" w:hAnsi="楷体" w:eastAsia="楷体" w:cs="楷体"/>
          <w:i w:val="0"/>
          <w:iCs w:val="0"/>
          <w:caps w:val="0"/>
          <w:color w:val="auto"/>
          <w:spacing w:val="0"/>
          <w:sz w:val="31"/>
          <w:szCs w:val="31"/>
          <w:u w:val="none"/>
          <w:lang w:val="en-US" w:eastAsia="zh-CN"/>
        </w:rPr>
        <w:t>学习交流</w:t>
      </w:r>
      <w:r>
        <w:rPr>
          <w:rFonts w:ascii="楷体" w:hAnsi="楷体" w:eastAsia="楷体" w:cs="楷体"/>
          <w:i w:val="0"/>
          <w:iCs w:val="0"/>
          <w:caps w:val="0"/>
          <w:color w:val="auto"/>
          <w:spacing w:val="0"/>
          <w:sz w:val="31"/>
          <w:szCs w:val="31"/>
          <w:u w:val="none"/>
        </w:rPr>
        <w:t>，提升</w:t>
      </w:r>
      <w:r>
        <w:rPr>
          <w:rFonts w:hint="eastAsia" w:ascii="楷体" w:hAnsi="楷体" w:eastAsia="楷体" w:cs="楷体"/>
          <w:i w:val="0"/>
          <w:iCs w:val="0"/>
          <w:caps w:val="0"/>
          <w:color w:val="auto"/>
          <w:spacing w:val="0"/>
          <w:sz w:val="31"/>
          <w:szCs w:val="31"/>
          <w:u w:val="none"/>
          <w:lang w:val="en-US" w:eastAsia="zh-CN"/>
        </w:rPr>
        <w:t>依法行政能力</w:t>
      </w:r>
      <w:r>
        <w:rPr>
          <w:rFonts w:ascii="楷体" w:hAnsi="楷体" w:eastAsia="楷体" w:cs="楷体"/>
          <w:i w:val="0"/>
          <w:iCs w:val="0"/>
          <w:caps w:val="0"/>
          <w:color w:val="auto"/>
          <w:spacing w:val="0"/>
          <w:sz w:val="31"/>
          <w:szCs w:val="31"/>
          <w:u w:val="none"/>
        </w:rPr>
        <w:t>。</w:t>
      </w:r>
      <w:r>
        <w:rPr>
          <w:rFonts w:hint="eastAsia" w:ascii="仿宋_GB2312" w:hAnsi="仿宋_GB2312" w:eastAsia="仿宋_GB2312" w:cs="仿宋_GB2312"/>
          <w:sz w:val="32"/>
          <w:szCs w:val="32"/>
          <w:lang w:val="en-US" w:eastAsia="zh-CN"/>
        </w:rPr>
        <w:t xml:space="preserve">一是健全领导干部学法制度，把习近平法治思想相关内容和《宪法》《民法典》等法律法规作为党员领导干部必学篇目，纳入党组理论学习中心组和干部理论学习日程。二是制定并落实好理论学习中心组法治学习计划，充分利用文旅大讲堂、干部蓄能充电课堂等形式，积极开展学习讨论会、法治讲座及知识竞赛等活动，提高党员干部法治工作能力。三是定期举办法律法规培训、讲座。同时引入交流座谈、观看案例等方式，实时解读新政策、新规定，突出学法的时效性，增强学习的主动性和实践性，进一步加强全系统干部职工的学法、懂法、用法力度，提高依法行政能力。 </w:t>
      </w:r>
    </w:p>
    <w:p>
      <w:pPr>
        <w:keepNext w:val="0"/>
        <w:keepLines w:val="0"/>
        <w:pageBreakBefore w:val="0"/>
        <w:numPr>
          <w:ilvl w:val="0"/>
          <w:numId w:val="0"/>
        </w:numPr>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i w:val="0"/>
          <w:iCs w:val="0"/>
          <w:caps w:val="0"/>
          <w:color w:val="auto"/>
          <w:spacing w:val="0"/>
          <w:sz w:val="32"/>
          <w:szCs w:val="32"/>
          <w:u w:val="none"/>
        </w:rPr>
        <w:t>(</w:t>
      </w:r>
      <w:r>
        <w:rPr>
          <w:rFonts w:hint="eastAsia" w:ascii="楷体_GB2312" w:hAnsi="楷体_GB2312" w:eastAsia="楷体_GB2312" w:cs="楷体_GB2312"/>
          <w:i w:val="0"/>
          <w:iCs w:val="0"/>
          <w:caps w:val="0"/>
          <w:color w:val="auto"/>
          <w:spacing w:val="0"/>
          <w:sz w:val="32"/>
          <w:szCs w:val="32"/>
          <w:u w:val="none"/>
          <w:lang w:val="en-US" w:eastAsia="zh-CN"/>
        </w:rPr>
        <w:t>二</w:t>
      </w:r>
      <w:r>
        <w:rPr>
          <w:rFonts w:hint="eastAsia" w:ascii="楷体_GB2312" w:hAnsi="楷体_GB2312" w:eastAsia="楷体_GB2312" w:cs="楷体_GB2312"/>
          <w:i w:val="0"/>
          <w:iCs w:val="0"/>
          <w:caps w:val="0"/>
          <w:color w:val="auto"/>
          <w:spacing w:val="0"/>
          <w:sz w:val="32"/>
          <w:szCs w:val="32"/>
          <w:u w:val="none"/>
        </w:rPr>
        <w:t>)开展法治培训活动，规范行政执法</w:t>
      </w:r>
      <w:r>
        <w:rPr>
          <w:rFonts w:hint="eastAsia" w:ascii="楷体_GB2312" w:hAnsi="楷体_GB2312" w:eastAsia="楷体_GB2312" w:cs="楷体_GB2312"/>
          <w:i w:val="0"/>
          <w:iCs w:val="0"/>
          <w:caps w:val="0"/>
          <w:color w:val="auto"/>
          <w:spacing w:val="0"/>
          <w:sz w:val="32"/>
          <w:szCs w:val="32"/>
          <w:u w:val="none"/>
          <w:lang w:val="en-US" w:eastAsia="zh-CN"/>
        </w:rPr>
        <w:t>行为</w:t>
      </w:r>
      <w:r>
        <w:rPr>
          <w:rFonts w:hint="eastAsia" w:ascii="楷体_GB2312" w:hAnsi="楷体_GB2312" w:eastAsia="楷体_GB2312" w:cs="楷体_GB2312"/>
          <w:i w:val="0"/>
          <w:iCs w:val="0"/>
          <w:caps w:val="0"/>
          <w:color w:val="auto"/>
          <w:spacing w:val="0"/>
          <w:sz w:val="32"/>
          <w:szCs w:val="32"/>
          <w:u w:val="none"/>
        </w:rPr>
        <w:t>。</w:t>
      </w:r>
      <w:r>
        <w:rPr>
          <w:rFonts w:hint="eastAsia" w:ascii="仿宋_GB2312" w:hAnsi="仿宋_GB2312" w:eastAsia="仿宋_GB2312" w:cs="仿宋_GB2312"/>
          <w:sz w:val="32"/>
          <w:szCs w:val="32"/>
        </w:rPr>
        <w:t>进一步加强行政执法人员的法治教育，</w:t>
      </w:r>
      <w:r>
        <w:rPr>
          <w:rFonts w:hint="eastAsia" w:ascii="仿宋_GB2312" w:hAnsi="仿宋_GB2312" w:eastAsia="仿宋_GB2312" w:cs="仿宋_GB2312"/>
          <w:sz w:val="32"/>
          <w:szCs w:val="32"/>
          <w:lang w:val="en-US" w:eastAsia="zh-CN"/>
        </w:rPr>
        <w:t>坚持执法人员每周三集中学法制度，对</w:t>
      </w:r>
      <w:r>
        <w:rPr>
          <w:rFonts w:hint="eastAsia" w:ascii="仿宋_GB2312" w:hAnsi="仿宋_GB2312" w:eastAsia="仿宋_GB2312" w:cs="仿宋_GB2312"/>
          <w:sz w:val="32"/>
          <w:szCs w:val="32"/>
        </w:rPr>
        <w:t>执法业务人员开展技能专题培训，通过法治培训、典型案例、学法考法等途径，加强对行政工作人员的执法指导。加强执法人员资格规范统一管理，严格执行行政执法人员持证上岗和资格管理制度。强化行政执法全过程记录，合理运用记录方式，完善文字记录、规范音像记录。定期对执法案卷进行评查、抽查，通过以查促改，保证各类执法行为的规范性。</w:t>
      </w:r>
    </w:p>
    <w:p>
      <w:pPr>
        <w:keepNext w:val="0"/>
        <w:keepLines w:val="0"/>
        <w:pageBreakBefore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color w:val="auto"/>
          <w:sz w:val="32"/>
          <w:szCs w:val="32"/>
          <w:lang w:val="en-US" w:eastAsia="zh-CN"/>
        </w:rPr>
        <w:t>（三）创新宣传载体，扎实开展法治宣传。</w:t>
      </w:r>
      <w:r>
        <w:rPr>
          <w:rFonts w:hint="eastAsia" w:ascii="仿宋_GB2312" w:hAnsi="仿宋_GB2312" w:eastAsia="仿宋_GB2312" w:cs="仿宋_GB2312"/>
          <w:sz w:val="32"/>
          <w:szCs w:val="32"/>
          <w:lang w:val="en-US" w:eastAsia="zh-CN"/>
        </w:rPr>
        <w:t>突出宪法宣传的首位性，注重民法典等重要法律的宣传，积极创作、展演优秀法治文化作品，形成法治宣传品牌，有针对性地开展文旅行</w:t>
      </w:r>
      <w:r>
        <w:rPr>
          <w:rFonts w:hint="default" w:ascii="仿宋_GB2312" w:hAnsi="仿宋_GB2312" w:eastAsia="仿宋_GB2312" w:cs="仿宋_GB2312"/>
          <w:sz w:val="32"/>
          <w:szCs w:val="32"/>
          <w:lang w:val="en-US" w:eastAsia="zh-CN"/>
        </w:rPr>
        <w:t>业</w:t>
      </w:r>
      <w:r>
        <w:rPr>
          <w:rFonts w:hint="eastAsia" w:ascii="仿宋_GB2312" w:hAnsi="仿宋_GB2312" w:eastAsia="仿宋_GB2312" w:cs="仿宋_GB2312"/>
          <w:sz w:val="32"/>
          <w:szCs w:val="32"/>
          <w:lang w:val="en-US" w:eastAsia="zh-CN"/>
        </w:rPr>
        <w:t>相关法律法规宣传教育，有效实施精准普法。同时，通过线上、线下相结合的宣传方式，促进文化市场相关法律法规普及。落实“谁执法谁普法”责任，通过正面激励引导、反面警示教育等方法，增强群众对法律法规的敬畏感，提高广大群众依法办事的意识。不断完善学法、用法机制，积极开展和参与各种普法宣传活动，使全县文旅市场的经营秩序不断正规化，促进文旅文创融合高质量发展，为加快“文旅强县”建设作出积极贡献。</w:t>
      </w:r>
    </w:p>
    <w:p>
      <w:pPr>
        <w:keepNext w:val="0"/>
        <w:keepLines w:val="0"/>
        <w:pageBreakBefore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80" w:lineRule="exact"/>
        <w:ind w:firstLine="4480" w:firstLineChars="1400"/>
        <w:jc w:val="both"/>
        <w:textAlignment w:val="auto"/>
        <w:rPr>
          <w:rFonts w:hint="default" w:ascii="仿宋_GB2312" w:hAnsi="仿宋_GB2312" w:eastAsia="仿宋_GB2312" w:cs="仿宋_GB2312"/>
          <w:sz w:val="32"/>
          <w:szCs w:val="32"/>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7BBE1607"/>
    <w:rsid w:val="00902C2A"/>
    <w:rsid w:val="02BD25AD"/>
    <w:rsid w:val="06C61153"/>
    <w:rsid w:val="08B82D1E"/>
    <w:rsid w:val="099B4D0F"/>
    <w:rsid w:val="0B370964"/>
    <w:rsid w:val="0D0C66F6"/>
    <w:rsid w:val="0DC92092"/>
    <w:rsid w:val="0F7A28EC"/>
    <w:rsid w:val="11065CD9"/>
    <w:rsid w:val="115B2212"/>
    <w:rsid w:val="117B6FDE"/>
    <w:rsid w:val="143A4F2F"/>
    <w:rsid w:val="15C9381C"/>
    <w:rsid w:val="15CF16A7"/>
    <w:rsid w:val="173309F2"/>
    <w:rsid w:val="18CA5813"/>
    <w:rsid w:val="1E173C5B"/>
    <w:rsid w:val="1F737547"/>
    <w:rsid w:val="20783BD5"/>
    <w:rsid w:val="26321F0A"/>
    <w:rsid w:val="268C786C"/>
    <w:rsid w:val="27724E99"/>
    <w:rsid w:val="28700AC7"/>
    <w:rsid w:val="28B05368"/>
    <w:rsid w:val="2A030D2A"/>
    <w:rsid w:val="2DA336ED"/>
    <w:rsid w:val="2DE51D3E"/>
    <w:rsid w:val="312F7DB6"/>
    <w:rsid w:val="317558B3"/>
    <w:rsid w:val="33BA699C"/>
    <w:rsid w:val="340E112B"/>
    <w:rsid w:val="34FF4A63"/>
    <w:rsid w:val="363E2205"/>
    <w:rsid w:val="39627589"/>
    <w:rsid w:val="3C357C06"/>
    <w:rsid w:val="3D4F6AA6"/>
    <w:rsid w:val="3DE74F30"/>
    <w:rsid w:val="3DFF08E6"/>
    <w:rsid w:val="3E3C6720"/>
    <w:rsid w:val="3EF57936"/>
    <w:rsid w:val="41612B4E"/>
    <w:rsid w:val="42976F25"/>
    <w:rsid w:val="485B0D30"/>
    <w:rsid w:val="4A8C30E7"/>
    <w:rsid w:val="4ABB577A"/>
    <w:rsid w:val="4ABD5996"/>
    <w:rsid w:val="4D3A0957"/>
    <w:rsid w:val="4FEB6B02"/>
    <w:rsid w:val="518A7082"/>
    <w:rsid w:val="55642E8C"/>
    <w:rsid w:val="56665FFC"/>
    <w:rsid w:val="56D05B1A"/>
    <w:rsid w:val="56E61DD1"/>
    <w:rsid w:val="578735B4"/>
    <w:rsid w:val="5AEB3E5A"/>
    <w:rsid w:val="5C207F2A"/>
    <w:rsid w:val="5C652640"/>
    <w:rsid w:val="5D7C6FEB"/>
    <w:rsid w:val="60027725"/>
    <w:rsid w:val="614222FA"/>
    <w:rsid w:val="632B573B"/>
    <w:rsid w:val="66426459"/>
    <w:rsid w:val="682379B2"/>
    <w:rsid w:val="68415DA4"/>
    <w:rsid w:val="6AD541DF"/>
    <w:rsid w:val="6D8768BE"/>
    <w:rsid w:val="6F3F60CB"/>
    <w:rsid w:val="708F38BB"/>
    <w:rsid w:val="71A713E0"/>
    <w:rsid w:val="74060D79"/>
    <w:rsid w:val="753164B5"/>
    <w:rsid w:val="770D37A7"/>
    <w:rsid w:val="777C610E"/>
    <w:rsid w:val="77D30FFF"/>
    <w:rsid w:val="77EB7DB5"/>
    <w:rsid w:val="7BBE1607"/>
    <w:rsid w:val="7BEE3875"/>
    <w:rsid w:val="7D00333D"/>
    <w:rsid w:val="7DD365C4"/>
    <w:rsid w:val="7F31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BodyText1I"/>
    <w:basedOn w:val="8"/>
    <w:qFormat/>
    <w:uiPriority w:val="0"/>
    <w:pPr>
      <w:ind w:firstLine="420" w:firstLineChars="100"/>
    </w:pPr>
    <w:rPr>
      <w:rFonts w:ascii="Times New Roman" w:hAnsi="Times New Roman" w:eastAsia="宋体" w:cs="Times New Roman"/>
    </w:rPr>
  </w:style>
  <w:style w:type="paragraph" w:customStyle="1" w:styleId="8">
    <w:name w:val="BodyText"/>
    <w:basedOn w:val="1"/>
    <w:autoRedefine/>
    <w:qFormat/>
    <w:uiPriority w:val="0"/>
    <w:pPr>
      <w:spacing w:before="9"/>
    </w:pPr>
    <w:rPr>
      <w:rFonts w:ascii="Times New Roman" w:hAnsi="Times New Roman" w:eastAsia="宋体" w:cs="Times New Roman"/>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2051</Words>
  <Characters>2093</Characters>
  <Lines>0</Lines>
  <Paragraphs>0</Paragraphs>
  <TotalTime>0</TotalTime>
  <ScaleCrop>false</ScaleCrop>
  <LinksUpToDate>false</LinksUpToDate>
  <CharactersWithSpaces>2103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2022-10-09T01:10:00Z</dcterms:created>
  <dc:creator>Administrator</dc:creator>
  <cp:lastModifiedBy>大海</cp:lastModifiedBy>
  <dcterms:modified xsi:type="dcterms:W3CDTF">2024-02-20T08:08:46Z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54D44222D4D04A4D92B3F602A35F44FF_13</vt:lpwstr>
  </property>
</Properties>
</file>